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18" w:rsidRDefault="00B27988" w:rsidP="00483D8D">
      <w:pPr>
        <w:jc w:val="center"/>
        <w:rPr>
          <w:sz w:val="28"/>
          <w:szCs w:val="28"/>
        </w:rPr>
      </w:pPr>
      <w:r w:rsidRPr="001A2E30">
        <w:rPr>
          <w:rFonts w:hint="eastAsia"/>
          <w:sz w:val="28"/>
          <w:szCs w:val="28"/>
        </w:rPr>
        <w:t>北京农业经济学会</w:t>
      </w:r>
      <w:r w:rsidRPr="001A2E30">
        <w:rPr>
          <w:rFonts w:hint="eastAsia"/>
          <w:sz w:val="28"/>
          <w:szCs w:val="28"/>
        </w:rPr>
        <w:t>20</w:t>
      </w:r>
      <w:r w:rsidR="00CA45E9">
        <w:rPr>
          <w:rFonts w:hint="eastAsia"/>
          <w:sz w:val="28"/>
          <w:szCs w:val="28"/>
        </w:rPr>
        <w:t>1</w:t>
      </w:r>
      <w:r w:rsidR="00954D9F">
        <w:rPr>
          <w:rFonts w:hint="eastAsia"/>
          <w:sz w:val="28"/>
          <w:szCs w:val="28"/>
        </w:rPr>
        <w:t>6</w:t>
      </w:r>
      <w:r w:rsidRPr="001A2E30">
        <w:rPr>
          <w:rFonts w:hint="eastAsia"/>
          <w:sz w:val="28"/>
          <w:szCs w:val="28"/>
        </w:rPr>
        <w:t>学术年</w:t>
      </w:r>
      <w:r w:rsidR="00901618">
        <w:rPr>
          <w:rFonts w:hint="eastAsia"/>
          <w:sz w:val="28"/>
          <w:szCs w:val="28"/>
        </w:rPr>
        <w:t>会</w:t>
      </w:r>
      <w:r w:rsidRPr="001A2E30">
        <w:rPr>
          <w:rFonts w:hint="eastAsia"/>
          <w:sz w:val="28"/>
          <w:szCs w:val="28"/>
        </w:rPr>
        <w:t>征文</w:t>
      </w:r>
      <w:r w:rsidR="00901618">
        <w:rPr>
          <w:rFonts w:hint="eastAsia"/>
          <w:sz w:val="28"/>
          <w:szCs w:val="28"/>
        </w:rPr>
        <w:t>优秀论文奖评审结果</w:t>
      </w:r>
    </w:p>
    <w:p w:rsidR="00B27988" w:rsidRDefault="00B27988"/>
    <w:p w:rsidR="00A84B74" w:rsidRDefault="00C0358D" w:rsidP="00A84B74">
      <w:pPr>
        <w:ind w:firstLine="435"/>
      </w:pPr>
      <w:r>
        <w:rPr>
          <w:rFonts w:hint="eastAsia"/>
        </w:rPr>
        <w:t>北京农业经济学会</w:t>
      </w:r>
      <w:r>
        <w:rPr>
          <w:rFonts w:hint="eastAsia"/>
        </w:rPr>
        <w:t>201</w:t>
      </w:r>
      <w:r w:rsidR="00954D9F">
        <w:rPr>
          <w:rFonts w:hint="eastAsia"/>
        </w:rPr>
        <w:t>6</w:t>
      </w:r>
      <w:r w:rsidR="00A35218">
        <w:rPr>
          <w:rFonts w:hint="eastAsia"/>
        </w:rPr>
        <w:t>学术年会</w:t>
      </w:r>
      <w:r w:rsidR="00B27988">
        <w:rPr>
          <w:rFonts w:hint="eastAsia"/>
        </w:rPr>
        <w:t>共收到</w:t>
      </w:r>
      <w:r w:rsidR="00A35218">
        <w:rPr>
          <w:rFonts w:hint="eastAsia"/>
        </w:rPr>
        <w:t>征文</w:t>
      </w:r>
      <w:r w:rsidR="00B27988">
        <w:rPr>
          <w:rFonts w:hint="eastAsia"/>
        </w:rPr>
        <w:t>投稿论文</w:t>
      </w:r>
      <w:r w:rsidR="00954D9F">
        <w:rPr>
          <w:rFonts w:hint="eastAsia"/>
        </w:rPr>
        <w:t>70</w:t>
      </w:r>
      <w:r w:rsidR="00B27988">
        <w:rPr>
          <w:rFonts w:hint="eastAsia"/>
        </w:rPr>
        <w:t>篇</w:t>
      </w:r>
      <w:r w:rsidR="00A35218">
        <w:rPr>
          <w:rFonts w:hint="eastAsia"/>
        </w:rPr>
        <w:t>，</w:t>
      </w:r>
      <w:r w:rsidR="00B27988">
        <w:rPr>
          <w:rFonts w:hint="eastAsia"/>
        </w:rPr>
        <w:t>经过</w:t>
      </w:r>
      <w:r w:rsidR="00290C2C">
        <w:rPr>
          <w:rFonts w:hint="eastAsia"/>
        </w:rPr>
        <w:t>学会特邀</w:t>
      </w:r>
      <w:r w:rsidR="00B27988">
        <w:rPr>
          <w:rFonts w:hint="eastAsia"/>
        </w:rPr>
        <w:t>专家</w:t>
      </w:r>
      <w:r w:rsidR="00290C2C">
        <w:rPr>
          <w:rFonts w:hint="eastAsia"/>
        </w:rPr>
        <w:t>组</w:t>
      </w:r>
      <w:r w:rsidR="00B27988">
        <w:rPr>
          <w:rFonts w:hint="eastAsia"/>
        </w:rPr>
        <w:t>匿名评审</w:t>
      </w:r>
      <w:r>
        <w:rPr>
          <w:rFonts w:hint="eastAsia"/>
        </w:rPr>
        <w:t>评选出入选论文</w:t>
      </w:r>
      <w:r w:rsidR="00954D9F">
        <w:rPr>
          <w:rFonts w:hint="eastAsia"/>
        </w:rPr>
        <w:t>33</w:t>
      </w:r>
      <w:r>
        <w:rPr>
          <w:rFonts w:hint="eastAsia"/>
        </w:rPr>
        <w:t>篇。</w:t>
      </w:r>
      <w:r w:rsidR="00DD0960">
        <w:rPr>
          <w:rFonts w:hint="eastAsia"/>
        </w:rPr>
        <w:t>在</w:t>
      </w:r>
      <w:r w:rsidR="00B27988">
        <w:rPr>
          <w:rFonts w:hint="eastAsia"/>
        </w:rPr>
        <w:t>入选论文中</w:t>
      </w:r>
      <w:r w:rsidR="00A35218">
        <w:rPr>
          <w:rFonts w:hint="eastAsia"/>
        </w:rPr>
        <w:t>，</w:t>
      </w:r>
      <w:r>
        <w:rPr>
          <w:rFonts w:hint="eastAsia"/>
        </w:rPr>
        <w:t>经过特邀专家组匿名评审，</w:t>
      </w:r>
      <w:r w:rsidR="00B27988">
        <w:rPr>
          <w:rFonts w:hint="eastAsia"/>
        </w:rPr>
        <w:t>评</w:t>
      </w:r>
      <w:r>
        <w:rPr>
          <w:rFonts w:hint="eastAsia"/>
        </w:rPr>
        <w:t>选</w:t>
      </w:r>
      <w:r w:rsidR="00B27988">
        <w:rPr>
          <w:rFonts w:hint="eastAsia"/>
        </w:rPr>
        <w:t>出本次征文</w:t>
      </w:r>
      <w:r w:rsidR="005D03C9">
        <w:rPr>
          <w:rFonts w:hint="eastAsia"/>
        </w:rPr>
        <w:t>“周诚</w:t>
      </w:r>
      <w:r w:rsidR="005C0D96">
        <w:rPr>
          <w:rFonts w:hint="eastAsia"/>
        </w:rPr>
        <w:t>农业</w:t>
      </w:r>
      <w:r w:rsidR="005D03C9">
        <w:rPr>
          <w:rFonts w:hint="eastAsia"/>
        </w:rPr>
        <w:t>经济学奖”</w:t>
      </w:r>
      <w:r w:rsidR="00B27988">
        <w:rPr>
          <w:rFonts w:hint="eastAsia"/>
        </w:rPr>
        <w:t>优秀论文二等奖</w:t>
      </w:r>
      <w:r w:rsidR="00E8614D">
        <w:rPr>
          <w:rFonts w:hint="eastAsia"/>
        </w:rPr>
        <w:t>4</w:t>
      </w:r>
      <w:r w:rsidR="00B27988">
        <w:rPr>
          <w:rFonts w:hint="eastAsia"/>
        </w:rPr>
        <w:t>篇，三等奖</w:t>
      </w:r>
      <w:r w:rsidR="00954D9F">
        <w:rPr>
          <w:rFonts w:hint="eastAsia"/>
        </w:rPr>
        <w:t>11</w:t>
      </w:r>
      <w:r w:rsidR="00B27988">
        <w:rPr>
          <w:rFonts w:hint="eastAsia"/>
        </w:rPr>
        <w:t>篇</w:t>
      </w:r>
      <w:r w:rsidR="00A35218">
        <w:rPr>
          <w:rFonts w:hint="eastAsia"/>
        </w:rPr>
        <w:t>，一等奖空缺（获奖论文见附件）。</w:t>
      </w:r>
      <w:r w:rsidR="00A84B74">
        <w:rPr>
          <w:rFonts w:hint="eastAsia"/>
        </w:rPr>
        <w:t>在</w:t>
      </w:r>
      <w:r w:rsidR="00A84B74">
        <w:rPr>
          <w:rFonts w:hint="eastAsia"/>
        </w:rPr>
        <w:t>201</w:t>
      </w:r>
      <w:r w:rsidR="003B6796">
        <w:rPr>
          <w:rFonts w:hint="eastAsia"/>
        </w:rPr>
        <w:t>6</w:t>
      </w:r>
      <w:r w:rsidR="00A84B74">
        <w:rPr>
          <w:rFonts w:hint="eastAsia"/>
        </w:rPr>
        <w:t>年</w:t>
      </w:r>
      <w:r w:rsidR="00A84B74">
        <w:rPr>
          <w:rFonts w:hint="eastAsia"/>
        </w:rPr>
        <w:t>12</w:t>
      </w:r>
      <w:r w:rsidR="00A84B74">
        <w:rPr>
          <w:rFonts w:hint="eastAsia"/>
        </w:rPr>
        <w:t>月</w:t>
      </w:r>
      <w:r w:rsidR="003B6796">
        <w:rPr>
          <w:rFonts w:hint="eastAsia"/>
        </w:rPr>
        <w:t>10</w:t>
      </w:r>
      <w:r w:rsidR="00A84B74">
        <w:rPr>
          <w:rFonts w:hint="eastAsia"/>
        </w:rPr>
        <w:t>日召开的北京农业经济学会</w:t>
      </w:r>
      <w:r w:rsidR="00A84B74">
        <w:rPr>
          <w:rFonts w:hint="eastAsia"/>
        </w:rPr>
        <w:t>201</w:t>
      </w:r>
      <w:r w:rsidR="003B6796">
        <w:rPr>
          <w:rFonts w:hint="eastAsia"/>
        </w:rPr>
        <w:t>6</w:t>
      </w:r>
      <w:r w:rsidR="00A84B74">
        <w:rPr>
          <w:rFonts w:hint="eastAsia"/>
        </w:rPr>
        <w:t>学术年会闭幕式上，学会秘书处正式公布评审结果，并对获得本次年会征文优秀论文奖的作者颁发了“周诚农业经济学奖”获奖证书和奖金，对其他征文入选论文和特别入选论文的作者颁发了论文入选证书。</w:t>
      </w:r>
    </w:p>
    <w:p w:rsidR="005D03C9" w:rsidRPr="005D03C9" w:rsidRDefault="005D03C9" w:rsidP="00B27988">
      <w:pPr>
        <w:ind w:firstLine="435"/>
      </w:pPr>
      <w:r>
        <w:rPr>
          <w:rFonts w:hint="eastAsia"/>
        </w:rPr>
        <w:t>“周诚</w:t>
      </w:r>
      <w:r w:rsidR="00E8614D">
        <w:rPr>
          <w:rFonts w:hint="eastAsia"/>
        </w:rPr>
        <w:t>农业</w:t>
      </w:r>
      <w:r>
        <w:rPr>
          <w:rFonts w:hint="eastAsia"/>
        </w:rPr>
        <w:t>经济学奖”是北京农业经济学会根据学会名誉会长、中国人民大学荣誉教授、著名农业经济学家和土地经济学家周诚教授提议</w:t>
      </w:r>
      <w:r w:rsidR="00E8614D">
        <w:rPr>
          <w:rFonts w:hint="eastAsia"/>
        </w:rPr>
        <w:t>而在</w:t>
      </w:r>
      <w:r w:rsidR="00E8614D">
        <w:rPr>
          <w:rFonts w:hint="eastAsia"/>
        </w:rPr>
        <w:t>2013</w:t>
      </w:r>
      <w:r w:rsidR="00E8614D">
        <w:rPr>
          <w:rFonts w:hint="eastAsia"/>
        </w:rPr>
        <w:t>年</w:t>
      </w:r>
      <w:r>
        <w:rPr>
          <w:rFonts w:hint="eastAsia"/>
        </w:rPr>
        <w:t>设立的奖项</w:t>
      </w:r>
      <w:r w:rsidR="00E8614D">
        <w:rPr>
          <w:rFonts w:hint="eastAsia"/>
        </w:rPr>
        <w:t>，本次是第</w:t>
      </w:r>
      <w:r w:rsidR="00F640AE">
        <w:rPr>
          <w:rFonts w:hint="eastAsia"/>
        </w:rPr>
        <w:t>四</w:t>
      </w:r>
      <w:r w:rsidR="00E8614D">
        <w:rPr>
          <w:rFonts w:hint="eastAsia"/>
        </w:rPr>
        <w:t>届评奖。</w:t>
      </w:r>
      <w:r>
        <w:rPr>
          <w:rFonts w:hint="eastAsia"/>
        </w:rPr>
        <w:t>本年度“周诚</w:t>
      </w:r>
      <w:r w:rsidR="00E8614D">
        <w:rPr>
          <w:rFonts w:hint="eastAsia"/>
        </w:rPr>
        <w:t>农业</w:t>
      </w:r>
      <w:r>
        <w:rPr>
          <w:rFonts w:hint="eastAsia"/>
        </w:rPr>
        <w:t>经济学奖”的奖金</w:t>
      </w:r>
      <w:r w:rsidR="00A84B74">
        <w:rPr>
          <w:rFonts w:hint="eastAsia"/>
        </w:rPr>
        <w:t>继续</w:t>
      </w:r>
      <w:r>
        <w:rPr>
          <w:rFonts w:hint="eastAsia"/>
        </w:rPr>
        <w:t>由中国人民大学农业与农村发展学院校友</w:t>
      </w:r>
      <w:r w:rsidR="00A84B74" w:rsidRPr="00A84B74">
        <w:rPr>
          <w:rFonts w:hint="eastAsia"/>
        </w:rPr>
        <w:t>邓</w:t>
      </w:r>
      <w:r w:rsidR="00E8614D" w:rsidRPr="00A84B74">
        <w:rPr>
          <w:rFonts w:hint="eastAsia"/>
        </w:rPr>
        <w:t>联武先生</w:t>
      </w:r>
      <w:r w:rsidR="00A84B74">
        <w:rPr>
          <w:rFonts w:hint="eastAsia"/>
        </w:rPr>
        <w:t>资</w:t>
      </w:r>
      <w:r>
        <w:rPr>
          <w:rFonts w:hint="eastAsia"/>
        </w:rPr>
        <w:t>助。</w:t>
      </w:r>
    </w:p>
    <w:p w:rsidR="00483D8D" w:rsidRPr="00A35218" w:rsidRDefault="00483D8D" w:rsidP="00B27988">
      <w:pPr>
        <w:ind w:firstLine="435"/>
      </w:pPr>
    </w:p>
    <w:p w:rsidR="00483D8D" w:rsidRDefault="00483D8D" w:rsidP="00C0358D">
      <w:pPr>
        <w:ind w:firstLine="435"/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北京农业经济学会</w:t>
      </w:r>
    </w:p>
    <w:p w:rsidR="00483D8D" w:rsidRDefault="00483D8D" w:rsidP="00C0358D">
      <w:pPr>
        <w:ind w:firstLine="435"/>
        <w:jc w:val="right"/>
      </w:pPr>
      <w:r>
        <w:rPr>
          <w:rFonts w:hint="eastAsia"/>
        </w:rPr>
        <w:t xml:space="preserve">                                               20</w:t>
      </w:r>
      <w:r w:rsidR="00290C2C">
        <w:rPr>
          <w:rFonts w:hint="eastAsia"/>
        </w:rPr>
        <w:t>1</w:t>
      </w:r>
      <w:r w:rsidR="00885569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A35218">
        <w:rPr>
          <w:rFonts w:hint="eastAsia"/>
        </w:rPr>
        <w:t>2</w:t>
      </w:r>
      <w:r>
        <w:rPr>
          <w:rFonts w:hint="eastAsia"/>
        </w:rPr>
        <w:t>月</w:t>
      </w:r>
      <w:r w:rsidR="00E2177F">
        <w:rPr>
          <w:rFonts w:hint="eastAsia"/>
        </w:rPr>
        <w:t>10</w:t>
      </w:r>
      <w:r>
        <w:rPr>
          <w:rFonts w:hint="eastAsia"/>
        </w:rPr>
        <w:t>日</w:t>
      </w:r>
    </w:p>
    <w:p w:rsidR="00483D8D" w:rsidRDefault="00483D8D" w:rsidP="00B27988">
      <w:pPr>
        <w:ind w:firstLine="435"/>
      </w:pPr>
    </w:p>
    <w:p w:rsidR="00D74325" w:rsidRPr="00885569" w:rsidRDefault="005D03C9" w:rsidP="00B27988">
      <w:pPr>
        <w:rPr>
          <w:b/>
          <w:sz w:val="24"/>
          <w:szCs w:val="21"/>
        </w:rPr>
      </w:pPr>
      <w:r w:rsidRPr="00885569">
        <w:rPr>
          <w:rFonts w:hint="eastAsia"/>
          <w:b/>
          <w:sz w:val="24"/>
          <w:szCs w:val="21"/>
        </w:rPr>
        <w:t>附：</w:t>
      </w:r>
      <w:r w:rsidR="00C0358D" w:rsidRPr="00885569">
        <w:rPr>
          <w:rFonts w:hint="eastAsia"/>
          <w:b/>
          <w:sz w:val="24"/>
          <w:szCs w:val="21"/>
        </w:rPr>
        <w:t>北京农业经济学会</w:t>
      </w:r>
      <w:r w:rsidR="00C0358D" w:rsidRPr="00885569">
        <w:rPr>
          <w:rFonts w:hint="eastAsia"/>
          <w:b/>
          <w:sz w:val="24"/>
          <w:szCs w:val="21"/>
        </w:rPr>
        <w:t>20</w:t>
      </w:r>
      <w:r w:rsidR="0002760E">
        <w:rPr>
          <w:rFonts w:hint="eastAsia"/>
          <w:b/>
          <w:sz w:val="24"/>
          <w:szCs w:val="21"/>
        </w:rPr>
        <w:t>16</w:t>
      </w:r>
      <w:r w:rsidR="00C0358D" w:rsidRPr="00885569">
        <w:rPr>
          <w:rFonts w:hint="eastAsia"/>
          <w:b/>
          <w:sz w:val="24"/>
          <w:szCs w:val="21"/>
        </w:rPr>
        <w:t>学术年会获奖</w:t>
      </w:r>
      <w:r w:rsidRPr="00885569">
        <w:rPr>
          <w:rFonts w:hint="eastAsia"/>
          <w:b/>
          <w:sz w:val="24"/>
          <w:szCs w:val="21"/>
        </w:rPr>
        <w:t>优秀论文</w:t>
      </w:r>
    </w:p>
    <w:p w:rsidR="00B27988" w:rsidRPr="00885569" w:rsidRDefault="005D03C9" w:rsidP="005D03C9">
      <w:pPr>
        <w:ind w:left="211"/>
        <w:rPr>
          <w:b/>
          <w:sz w:val="24"/>
          <w:szCs w:val="21"/>
        </w:rPr>
      </w:pPr>
      <w:r w:rsidRPr="00885569">
        <w:rPr>
          <w:rFonts w:hint="eastAsia"/>
          <w:b/>
          <w:sz w:val="24"/>
          <w:szCs w:val="21"/>
        </w:rPr>
        <w:t>1</w:t>
      </w:r>
      <w:r w:rsidRPr="00885569">
        <w:rPr>
          <w:rFonts w:hint="eastAsia"/>
          <w:b/>
          <w:sz w:val="24"/>
          <w:szCs w:val="21"/>
        </w:rPr>
        <w:t>、“周诚</w:t>
      </w:r>
      <w:r w:rsidR="0014447D" w:rsidRPr="00885569">
        <w:rPr>
          <w:rFonts w:hint="eastAsia"/>
          <w:b/>
          <w:sz w:val="24"/>
          <w:szCs w:val="21"/>
        </w:rPr>
        <w:t>农业</w:t>
      </w:r>
      <w:r w:rsidRPr="00885569">
        <w:rPr>
          <w:rFonts w:hint="eastAsia"/>
          <w:b/>
          <w:sz w:val="24"/>
          <w:szCs w:val="21"/>
        </w:rPr>
        <w:t>经济学奖”</w:t>
      </w:r>
      <w:r w:rsidRPr="00885569">
        <w:rPr>
          <w:rFonts w:hint="eastAsia"/>
          <w:b/>
          <w:sz w:val="24"/>
          <w:szCs w:val="21"/>
        </w:rPr>
        <w:t xml:space="preserve"> </w:t>
      </w:r>
      <w:r w:rsidRPr="00885569">
        <w:rPr>
          <w:rFonts w:hint="eastAsia"/>
          <w:b/>
          <w:sz w:val="24"/>
          <w:szCs w:val="21"/>
        </w:rPr>
        <w:t>优秀论文</w:t>
      </w:r>
      <w:r w:rsidR="00DD0960" w:rsidRPr="00885569">
        <w:rPr>
          <w:rFonts w:hint="eastAsia"/>
          <w:b/>
          <w:sz w:val="24"/>
          <w:szCs w:val="21"/>
        </w:rPr>
        <w:t>一</w:t>
      </w:r>
      <w:r w:rsidR="00B27988" w:rsidRPr="00885569">
        <w:rPr>
          <w:rFonts w:hint="eastAsia"/>
          <w:b/>
          <w:sz w:val="24"/>
          <w:szCs w:val="21"/>
        </w:rPr>
        <w:t>等奖</w:t>
      </w:r>
      <w:r w:rsidR="00483D8D" w:rsidRPr="00885569">
        <w:rPr>
          <w:rFonts w:hint="eastAsia"/>
          <w:b/>
          <w:sz w:val="24"/>
          <w:szCs w:val="21"/>
        </w:rPr>
        <w:t>：</w:t>
      </w:r>
      <w:r w:rsidRPr="00885569">
        <w:rPr>
          <w:rFonts w:hint="eastAsia"/>
          <w:b/>
          <w:sz w:val="24"/>
          <w:szCs w:val="21"/>
        </w:rPr>
        <w:t>空缺</w:t>
      </w:r>
    </w:p>
    <w:p w:rsidR="00CA441B" w:rsidRDefault="00CA441B" w:rsidP="00DD0960">
      <w:pPr>
        <w:ind w:firstLineChars="100" w:firstLine="211"/>
        <w:rPr>
          <w:b/>
          <w:szCs w:val="21"/>
        </w:rPr>
      </w:pPr>
    </w:p>
    <w:p w:rsidR="00DD0960" w:rsidRPr="00C00EA0" w:rsidRDefault="00DD0960" w:rsidP="00C00EA0">
      <w:pPr>
        <w:ind w:firstLineChars="100" w:firstLine="241"/>
        <w:rPr>
          <w:b/>
          <w:sz w:val="24"/>
          <w:szCs w:val="21"/>
        </w:rPr>
      </w:pPr>
      <w:r w:rsidRPr="00C00EA0">
        <w:rPr>
          <w:rFonts w:hint="eastAsia"/>
          <w:b/>
          <w:sz w:val="24"/>
          <w:szCs w:val="21"/>
        </w:rPr>
        <w:t>2</w:t>
      </w:r>
      <w:r w:rsidRPr="00C00EA0">
        <w:rPr>
          <w:rFonts w:hint="eastAsia"/>
          <w:b/>
          <w:sz w:val="24"/>
          <w:szCs w:val="21"/>
        </w:rPr>
        <w:t>、</w:t>
      </w:r>
      <w:r w:rsidR="005D03C9" w:rsidRPr="00C00EA0">
        <w:rPr>
          <w:rFonts w:hint="eastAsia"/>
          <w:b/>
          <w:sz w:val="24"/>
          <w:szCs w:val="21"/>
        </w:rPr>
        <w:t>“周诚</w:t>
      </w:r>
      <w:r w:rsidR="0014447D" w:rsidRPr="00C00EA0">
        <w:rPr>
          <w:rFonts w:hint="eastAsia"/>
          <w:b/>
          <w:sz w:val="24"/>
          <w:szCs w:val="21"/>
        </w:rPr>
        <w:t>农业</w:t>
      </w:r>
      <w:r w:rsidR="005D03C9" w:rsidRPr="00C00EA0">
        <w:rPr>
          <w:rFonts w:hint="eastAsia"/>
          <w:b/>
          <w:sz w:val="24"/>
          <w:szCs w:val="21"/>
        </w:rPr>
        <w:t>经济学奖”</w:t>
      </w:r>
      <w:r w:rsidR="005D03C9" w:rsidRPr="00C00EA0">
        <w:rPr>
          <w:rFonts w:hint="eastAsia"/>
          <w:b/>
          <w:sz w:val="24"/>
          <w:szCs w:val="21"/>
        </w:rPr>
        <w:t xml:space="preserve"> </w:t>
      </w:r>
      <w:r w:rsidR="005D03C9" w:rsidRPr="00C00EA0">
        <w:rPr>
          <w:rFonts w:hint="eastAsia"/>
          <w:b/>
          <w:sz w:val="24"/>
          <w:szCs w:val="21"/>
        </w:rPr>
        <w:t>优秀论文</w:t>
      </w:r>
      <w:r w:rsidRPr="00C00EA0">
        <w:rPr>
          <w:rFonts w:hint="eastAsia"/>
          <w:b/>
          <w:sz w:val="24"/>
          <w:szCs w:val="21"/>
        </w:rPr>
        <w:t>二等奖：</w:t>
      </w:r>
      <w:r w:rsidR="00E8614D" w:rsidRPr="00C00EA0">
        <w:rPr>
          <w:rFonts w:hint="eastAsia"/>
          <w:b/>
          <w:sz w:val="24"/>
          <w:szCs w:val="21"/>
        </w:rPr>
        <w:t>4</w:t>
      </w:r>
      <w:r w:rsidRPr="00C00EA0">
        <w:rPr>
          <w:rFonts w:hint="eastAsia"/>
          <w:b/>
          <w:sz w:val="24"/>
          <w:szCs w:val="21"/>
        </w:rPr>
        <w:t>篇</w:t>
      </w:r>
      <w:r w:rsidR="0014447D" w:rsidRPr="00C00EA0">
        <w:rPr>
          <w:rFonts w:hint="eastAsia"/>
          <w:sz w:val="24"/>
          <w:szCs w:val="21"/>
        </w:rPr>
        <w:t>（按论文标题首字拼音排序）</w:t>
      </w:r>
    </w:p>
    <w:p w:rsidR="002F49E9" w:rsidRPr="00C76B1A" w:rsidRDefault="002F49E9" w:rsidP="002F49E9">
      <w:pPr>
        <w:ind w:leftChars="96" w:left="202"/>
        <w:rPr>
          <w:b/>
        </w:rPr>
      </w:pPr>
      <w:r w:rsidRPr="00C76B1A">
        <w:rPr>
          <w:b/>
        </w:rPr>
        <w:t>村级产权干涉对农户农地转出行为的影响分析</w:t>
      </w:r>
    </w:p>
    <w:p w:rsidR="002F49E9" w:rsidRPr="00C76B1A" w:rsidRDefault="002F49E9" w:rsidP="002F49E9">
      <w:pPr>
        <w:pStyle w:val="a5"/>
        <w:ind w:leftChars="296" w:left="622" w:firstLineChars="0" w:firstLine="0"/>
        <w:rPr>
          <w:rFonts w:eastAsia="楷体"/>
          <w:sz w:val="24"/>
        </w:rPr>
      </w:pPr>
      <w:r w:rsidRPr="00C76B1A">
        <w:rPr>
          <w:rFonts w:eastAsia="楷体"/>
          <w:sz w:val="24"/>
        </w:rPr>
        <w:t>孙小龙、</w:t>
      </w:r>
      <w:proofErr w:type="gramStart"/>
      <w:r w:rsidRPr="00C76B1A">
        <w:rPr>
          <w:rFonts w:eastAsia="楷体"/>
          <w:sz w:val="24"/>
        </w:rPr>
        <w:t>郜</w:t>
      </w:r>
      <w:proofErr w:type="gramEnd"/>
      <w:r w:rsidRPr="00C76B1A">
        <w:rPr>
          <w:rFonts w:eastAsia="楷体"/>
          <w:sz w:val="24"/>
        </w:rPr>
        <w:t>亮亮、郭沛</w:t>
      </w:r>
      <w:r w:rsidRPr="00C76B1A">
        <w:rPr>
          <w:rFonts w:eastAsia="楷体"/>
          <w:sz w:val="24"/>
        </w:rPr>
        <w:t>(</w:t>
      </w:r>
      <w:r w:rsidRPr="00C76B1A">
        <w:rPr>
          <w:rFonts w:eastAsia="楷体"/>
          <w:sz w:val="24"/>
        </w:rPr>
        <w:t>中国农业大学中国农村政策研究中心；中国农业大学经济管理学院；中国社会科学院农村发展研究所</w:t>
      </w:r>
      <w:r w:rsidRPr="00C76B1A">
        <w:rPr>
          <w:rFonts w:eastAsia="楷体"/>
          <w:sz w:val="24"/>
        </w:rPr>
        <w:t>)</w:t>
      </w:r>
    </w:p>
    <w:p w:rsidR="002F49E9" w:rsidRPr="00C76B1A" w:rsidRDefault="002F49E9" w:rsidP="002F49E9">
      <w:pPr>
        <w:ind w:leftChars="96" w:left="202"/>
        <w:rPr>
          <w:b/>
        </w:rPr>
      </w:pPr>
      <w:r w:rsidRPr="00C76B1A">
        <w:rPr>
          <w:b/>
        </w:rPr>
        <w:t>道义经济与农民土地流转行为决策：人情法则</w:t>
      </w:r>
      <w:r w:rsidRPr="00C76B1A">
        <w:rPr>
          <w:b/>
        </w:rPr>
        <w:t>VS</w:t>
      </w:r>
      <w:r w:rsidRPr="00C76B1A">
        <w:rPr>
          <w:b/>
        </w:rPr>
        <w:t>市场规则</w:t>
      </w:r>
      <w:r w:rsidRPr="00C76B1A">
        <w:rPr>
          <w:b/>
        </w:rPr>
        <w:t>——</w:t>
      </w:r>
      <w:r w:rsidRPr="00C76B1A">
        <w:rPr>
          <w:b/>
        </w:rPr>
        <w:t>基于新疆维吾尔族聚居村落的调查</w:t>
      </w:r>
    </w:p>
    <w:p w:rsidR="002F49E9" w:rsidRPr="00C76B1A" w:rsidRDefault="002F49E9" w:rsidP="002F49E9">
      <w:pPr>
        <w:pStyle w:val="a5"/>
        <w:ind w:leftChars="96" w:left="202" w:firstLineChars="175"/>
        <w:rPr>
          <w:rFonts w:eastAsia="楷体"/>
          <w:sz w:val="24"/>
        </w:rPr>
      </w:pPr>
      <w:r w:rsidRPr="00C76B1A">
        <w:rPr>
          <w:rFonts w:eastAsia="楷体"/>
          <w:sz w:val="24"/>
        </w:rPr>
        <w:t>王岩、石晓平（南京农业大学公共管理学院）</w:t>
      </w:r>
    </w:p>
    <w:p w:rsidR="002F49E9" w:rsidRPr="00C76B1A" w:rsidRDefault="002F49E9" w:rsidP="002F49E9">
      <w:pPr>
        <w:ind w:leftChars="96" w:left="202"/>
        <w:rPr>
          <w:b/>
        </w:rPr>
      </w:pPr>
      <w:r w:rsidRPr="00C76B1A">
        <w:rPr>
          <w:b/>
        </w:rPr>
        <w:t>供需双重配给下的农产品购销商正规信贷约束</w:t>
      </w:r>
      <w:r w:rsidRPr="00C76B1A">
        <w:rPr>
          <w:b/>
        </w:rPr>
        <w:t>——</w:t>
      </w:r>
      <w:r w:rsidRPr="00C76B1A">
        <w:rPr>
          <w:b/>
        </w:rPr>
        <w:t>基于</w:t>
      </w:r>
      <w:r w:rsidRPr="00C76B1A">
        <w:rPr>
          <w:b/>
        </w:rPr>
        <w:t>1422</w:t>
      </w:r>
      <w:r w:rsidRPr="00C76B1A">
        <w:rPr>
          <w:b/>
        </w:rPr>
        <w:t>家批发市场购销商数据的样本选择</w:t>
      </w:r>
      <w:proofErr w:type="spellStart"/>
      <w:r w:rsidRPr="00C76B1A">
        <w:rPr>
          <w:b/>
        </w:rPr>
        <w:t>Probit</w:t>
      </w:r>
      <w:proofErr w:type="spellEnd"/>
      <w:r w:rsidRPr="00C76B1A">
        <w:rPr>
          <w:b/>
        </w:rPr>
        <w:t>模型估计</w:t>
      </w:r>
    </w:p>
    <w:p w:rsidR="002F49E9" w:rsidRPr="00C76B1A" w:rsidRDefault="002F49E9" w:rsidP="002F49E9">
      <w:pPr>
        <w:pStyle w:val="a5"/>
        <w:ind w:firstLineChars="300" w:firstLine="720"/>
        <w:rPr>
          <w:rFonts w:eastAsia="楷体"/>
          <w:sz w:val="24"/>
        </w:rPr>
      </w:pPr>
      <w:r w:rsidRPr="00C76B1A">
        <w:rPr>
          <w:rFonts w:eastAsia="楷体"/>
          <w:sz w:val="24"/>
        </w:rPr>
        <w:t>胡历芳、曾寅初（中国人民大学农业与农村发展学院）</w:t>
      </w:r>
    </w:p>
    <w:p w:rsidR="005D09B9" w:rsidRPr="00C76B1A" w:rsidRDefault="005D09B9" w:rsidP="005D09B9">
      <w:pPr>
        <w:ind w:firstLineChars="100" w:firstLine="211"/>
        <w:rPr>
          <w:b/>
        </w:rPr>
      </w:pPr>
      <w:r w:rsidRPr="00C76B1A">
        <w:rPr>
          <w:b/>
        </w:rPr>
        <w:t>社区综合发展</w:t>
      </w:r>
      <w:r w:rsidRPr="00C76B1A">
        <w:rPr>
          <w:b/>
        </w:rPr>
        <w:t>“</w:t>
      </w:r>
      <w:r w:rsidRPr="00C76B1A">
        <w:rPr>
          <w:b/>
        </w:rPr>
        <w:t>益贫</w:t>
      </w:r>
      <w:r w:rsidRPr="00C76B1A">
        <w:rPr>
          <w:b/>
        </w:rPr>
        <w:t>”</w:t>
      </w:r>
      <w:r w:rsidRPr="00C76B1A">
        <w:rPr>
          <w:b/>
        </w:rPr>
        <w:t>还是</w:t>
      </w:r>
      <w:r w:rsidRPr="00C76B1A">
        <w:rPr>
          <w:b/>
        </w:rPr>
        <w:t>“</w:t>
      </w:r>
      <w:r w:rsidRPr="00C76B1A">
        <w:rPr>
          <w:b/>
        </w:rPr>
        <w:t>溢富</w:t>
      </w:r>
      <w:r w:rsidRPr="00C76B1A">
        <w:rPr>
          <w:b/>
        </w:rPr>
        <w:t>”</w:t>
      </w:r>
      <w:r w:rsidRPr="00C76B1A">
        <w:rPr>
          <w:b/>
        </w:rPr>
        <w:t>？</w:t>
      </w:r>
      <w:r w:rsidRPr="00C76B1A">
        <w:rPr>
          <w:b/>
        </w:rPr>
        <w:t>——</w:t>
      </w:r>
      <w:r w:rsidRPr="00C76B1A">
        <w:rPr>
          <w:b/>
        </w:rPr>
        <w:t>基于精准扶贫和收入分配效应视角</w:t>
      </w:r>
    </w:p>
    <w:p w:rsidR="005D09B9" w:rsidRPr="00C76B1A" w:rsidRDefault="005D09B9" w:rsidP="005D09B9">
      <w:pPr>
        <w:pStyle w:val="a5"/>
        <w:ind w:leftChars="296" w:left="622" w:firstLineChars="0" w:firstLine="0"/>
        <w:rPr>
          <w:rFonts w:eastAsia="楷体"/>
          <w:sz w:val="24"/>
        </w:rPr>
      </w:pPr>
      <w:r w:rsidRPr="00C76B1A">
        <w:rPr>
          <w:rFonts w:eastAsia="楷体"/>
          <w:sz w:val="24"/>
        </w:rPr>
        <w:t>郭君平（中国农业科学院农业经济与发展研究所）</w:t>
      </w:r>
    </w:p>
    <w:p w:rsidR="00CA441B" w:rsidRDefault="00CA441B" w:rsidP="00CA441B">
      <w:pPr>
        <w:ind w:firstLineChars="100" w:firstLine="211"/>
        <w:rPr>
          <w:b/>
          <w:szCs w:val="21"/>
        </w:rPr>
      </w:pPr>
    </w:p>
    <w:p w:rsidR="00940618" w:rsidRPr="00E2177F" w:rsidRDefault="00940618" w:rsidP="00E2177F">
      <w:pPr>
        <w:ind w:firstLineChars="100" w:firstLine="241"/>
        <w:rPr>
          <w:b/>
          <w:sz w:val="24"/>
          <w:szCs w:val="21"/>
        </w:rPr>
      </w:pPr>
      <w:r w:rsidRPr="00E2177F">
        <w:rPr>
          <w:rFonts w:hint="eastAsia"/>
          <w:b/>
          <w:sz w:val="24"/>
          <w:szCs w:val="21"/>
        </w:rPr>
        <w:t>3</w:t>
      </w:r>
      <w:r w:rsidRPr="00E2177F">
        <w:rPr>
          <w:rFonts w:hint="eastAsia"/>
          <w:b/>
          <w:sz w:val="24"/>
          <w:szCs w:val="21"/>
        </w:rPr>
        <w:t>、</w:t>
      </w:r>
      <w:r w:rsidR="005D03C9" w:rsidRPr="00E2177F">
        <w:rPr>
          <w:rFonts w:hint="eastAsia"/>
          <w:b/>
          <w:sz w:val="24"/>
          <w:szCs w:val="21"/>
        </w:rPr>
        <w:t>“周诚</w:t>
      </w:r>
      <w:r w:rsidR="0014447D" w:rsidRPr="00E2177F">
        <w:rPr>
          <w:rFonts w:hint="eastAsia"/>
          <w:b/>
          <w:sz w:val="24"/>
          <w:szCs w:val="21"/>
        </w:rPr>
        <w:t>农业</w:t>
      </w:r>
      <w:r w:rsidR="005D03C9" w:rsidRPr="00E2177F">
        <w:rPr>
          <w:rFonts w:hint="eastAsia"/>
          <w:b/>
          <w:sz w:val="24"/>
          <w:szCs w:val="21"/>
        </w:rPr>
        <w:t>经济学奖”</w:t>
      </w:r>
      <w:r w:rsidRPr="00E2177F">
        <w:rPr>
          <w:rFonts w:hint="eastAsia"/>
          <w:b/>
          <w:sz w:val="24"/>
          <w:szCs w:val="21"/>
        </w:rPr>
        <w:t>优秀论文三等奖</w:t>
      </w:r>
      <w:r w:rsidR="00483D8D" w:rsidRPr="00E2177F">
        <w:rPr>
          <w:rFonts w:hint="eastAsia"/>
          <w:b/>
          <w:sz w:val="24"/>
          <w:szCs w:val="21"/>
        </w:rPr>
        <w:t>：</w:t>
      </w:r>
      <w:r w:rsidR="00B26C79" w:rsidRPr="00E2177F">
        <w:rPr>
          <w:rFonts w:hint="eastAsia"/>
          <w:b/>
          <w:sz w:val="24"/>
          <w:szCs w:val="21"/>
        </w:rPr>
        <w:t>11</w:t>
      </w:r>
      <w:r w:rsidRPr="00E2177F">
        <w:rPr>
          <w:rFonts w:hint="eastAsia"/>
          <w:b/>
          <w:sz w:val="24"/>
          <w:szCs w:val="21"/>
        </w:rPr>
        <w:t>篇</w:t>
      </w:r>
      <w:r w:rsidR="0014447D" w:rsidRPr="00E2177F">
        <w:rPr>
          <w:rFonts w:hint="eastAsia"/>
          <w:sz w:val="24"/>
          <w:szCs w:val="21"/>
        </w:rPr>
        <w:t>（按论文标题首字拼音排序）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地方公共品供给与人口迁移</w:t>
      </w:r>
      <w:r w:rsidRPr="00C76B1A">
        <w:rPr>
          <w:b/>
        </w:rPr>
        <w:t>——</w:t>
      </w:r>
      <w:r w:rsidRPr="00C76B1A">
        <w:rPr>
          <w:b/>
        </w:rPr>
        <w:t>来自全国地级以上城市的经验证据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杨义武、林万龙、张莉琴（中国农业大学经济管理学院）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地理禀赋贫困陷阱存在吗？</w:t>
      </w:r>
      <w:r w:rsidRPr="00C76B1A">
        <w:rPr>
          <w:b/>
        </w:rPr>
        <w:t>--</w:t>
      </w:r>
      <w:r w:rsidRPr="00C76B1A">
        <w:rPr>
          <w:b/>
        </w:rPr>
        <w:t>基于中国健康营养调查</w:t>
      </w:r>
      <w:r w:rsidRPr="00C76B1A">
        <w:rPr>
          <w:b/>
        </w:rPr>
        <w:t>(CHNS)</w:t>
      </w:r>
      <w:r w:rsidRPr="00C76B1A">
        <w:rPr>
          <w:b/>
        </w:rPr>
        <w:t>数据的分析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袁航</w:t>
      </w:r>
      <w:r w:rsidRPr="00C76B1A">
        <w:rPr>
          <w:rFonts w:eastAsia="楷体"/>
          <w:sz w:val="24"/>
        </w:rPr>
        <w:t>(</w:t>
      </w:r>
      <w:r w:rsidRPr="00C76B1A">
        <w:rPr>
          <w:rFonts w:eastAsia="楷体"/>
          <w:sz w:val="24"/>
        </w:rPr>
        <w:t>中国人民大学农业与农村发展学院</w:t>
      </w:r>
      <w:r w:rsidRPr="00C76B1A">
        <w:rPr>
          <w:rFonts w:eastAsia="楷体"/>
          <w:sz w:val="24"/>
        </w:rPr>
        <w:t>)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风险规避、社会资本对农民工务工距离的影响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陆岐楠、张崇尚、曲晓睿、仇焕广（中国人民大学农业与农村发展学院）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价格支持政策对化肥施用量的影响</w:t>
      </w:r>
      <w:r w:rsidRPr="00C76B1A">
        <w:rPr>
          <w:b/>
        </w:rPr>
        <w:t>——</w:t>
      </w:r>
      <w:r w:rsidRPr="00C76B1A">
        <w:rPr>
          <w:b/>
        </w:rPr>
        <w:t>分析框架与</w:t>
      </w:r>
      <w:proofErr w:type="gramStart"/>
      <w:r w:rsidRPr="00C76B1A">
        <w:rPr>
          <w:b/>
        </w:rPr>
        <w:t>反事实</w:t>
      </w:r>
      <w:proofErr w:type="gramEnd"/>
      <w:r w:rsidRPr="00C76B1A">
        <w:rPr>
          <w:b/>
        </w:rPr>
        <w:t>验证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马英辉、</w:t>
      </w:r>
      <w:proofErr w:type="gramStart"/>
      <w:r w:rsidRPr="00C76B1A">
        <w:rPr>
          <w:rFonts w:eastAsia="楷体"/>
          <w:sz w:val="24"/>
        </w:rPr>
        <w:t>蔡</w:t>
      </w:r>
      <w:proofErr w:type="gramEnd"/>
      <w:r w:rsidRPr="00C76B1A">
        <w:rPr>
          <w:rFonts w:eastAsia="楷体"/>
          <w:sz w:val="24"/>
        </w:rPr>
        <w:t>海龙（中国农业大学）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经营规模的扩大有助于农户采取环境友好型生产行为吗</w:t>
      </w:r>
      <w:r w:rsidRPr="00C76B1A">
        <w:rPr>
          <w:b/>
        </w:rPr>
        <w:t>?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张娇、刘乐、张崇尚（中国人民大学农业与农村发展学院）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lastRenderedPageBreak/>
        <w:t>老年人宗教信仰与子女代际支持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郑晓冬、苏保忠、方向明（中国农业大学经济管理学院）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农业保险补贴如何规避</w:t>
      </w:r>
      <w:r w:rsidRPr="00C76B1A">
        <w:rPr>
          <w:b/>
        </w:rPr>
        <w:t>WTO</w:t>
      </w:r>
      <w:r w:rsidRPr="00C76B1A">
        <w:rPr>
          <w:b/>
        </w:rPr>
        <w:t>规则约束：美国做法对中国的启示</w:t>
      </w:r>
    </w:p>
    <w:p w:rsidR="00C00EA0" w:rsidRPr="00C76B1A" w:rsidRDefault="00C00EA0" w:rsidP="003872C5">
      <w:pPr>
        <w:ind w:leftChars="296" w:left="622"/>
        <w:rPr>
          <w:rFonts w:eastAsia="楷体"/>
          <w:sz w:val="24"/>
        </w:rPr>
      </w:pPr>
      <w:r w:rsidRPr="00C76B1A">
        <w:rPr>
          <w:rFonts w:eastAsia="楷体"/>
          <w:sz w:val="24"/>
        </w:rPr>
        <w:t>齐皓天、徐雪高、朱满德、袁祥州（华中农业大学经济管理学院；江苏省农业科学院农业经济与信息研究所；贵州大学经济学院；福建农林大学经济学院）</w:t>
      </w:r>
    </w:p>
    <w:p w:rsidR="003872C5" w:rsidRDefault="00C00EA0" w:rsidP="00C00EA0">
      <w:pPr>
        <w:ind w:leftChars="96" w:left="202"/>
        <w:rPr>
          <w:b/>
        </w:rPr>
      </w:pPr>
      <w:r w:rsidRPr="00C76B1A">
        <w:rPr>
          <w:b/>
        </w:rPr>
        <w:t>社会信任与农村劳动力代</w:t>
      </w:r>
      <w:proofErr w:type="gramStart"/>
      <w:r w:rsidRPr="00C76B1A">
        <w:rPr>
          <w:b/>
        </w:rPr>
        <w:t>际职业</w:t>
      </w:r>
      <w:proofErr w:type="gramEnd"/>
      <w:r w:rsidRPr="00C76B1A">
        <w:rPr>
          <w:b/>
        </w:rPr>
        <w:t>流动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王宇、臧日宏（中国农业大学经济管理学院）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制度、新型村民自治组织与农地确权纠纷的处理</w:t>
      </w:r>
      <w:r w:rsidRPr="00C76B1A">
        <w:rPr>
          <w:b/>
        </w:rPr>
        <w:t xml:space="preserve"> ——</w:t>
      </w:r>
      <w:r w:rsidRPr="00C76B1A">
        <w:rPr>
          <w:b/>
        </w:rPr>
        <w:t>基于河北省</w:t>
      </w:r>
      <w:r w:rsidRPr="00C76B1A">
        <w:rPr>
          <w:b/>
        </w:rPr>
        <w:t>PX</w:t>
      </w:r>
      <w:r w:rsidRPr="00C76B1A">
        <w:rPr>
          <w:b/>
        </w:rPr>
        <w:t>县</w:t>
      </w:r>
      <w:r w:rsidRPr="00C76B1A">
        <w:rPr>
          <w:b/>
        </w:rPr>
        <w:t>3</w:t>
      </w:r>
      <w:r w:rsidRPr="00C76B1A">
        <w:rPr>
          <w:b/>
        </w:rPr>
        <w:t>个案例的分析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倪坤晓、谭淑豪（中国人民大学农业与农村发展学院）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制度变迁与农业全要素生产率</w:t>
      </w:r>
      <w:r w:rsidRPr="00C76B1A">
        <w:rPr>
          <w:b/>
        </w:rPr>
        <w:t>:</w:t>
      </w:r>
      <w:r w:rsidRPr="00C76B1A">
        <w:rPr>
          <w:b/>
        </w:rPr>
        <w:t>水平效应与增长效应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葛静芳、司伟（中国农业大学经济管理学院）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作为康德式社会契约的合作社：理解合作社原则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许建明（清华大学公共管理学院</w:t>
      </w:r>
      <w:r w:rsidRPr="00C76B1A">
        <w:rPr>
          <w:rFonts w:eastAsia="楷体"/>
          <w:sz w:val="24"/>
        </w:rPr>
        <w:t>/</w:t>
      </w:r>
      <w:r w:rsidRPr="00C76B1A">
        <w:rPr>
          <w:rFonts w:eastAsia="楷体"/>
          <w:sz w:val="24"/>
        </w:rPr>
        <w:t>中国农村研究院）</w:t>
      </w:r>
    </w:p>
    <w:p w:rsidR="00CA441B" w:rsidRDefault="00CA441B" w:rsidP="008A2F67">
      <w:pPr>
        <w:rPr>
          <w:b/>
          <w:szCs w:val="21"/>
        </w:rPr>
      </w:pPr>
    </w:p>
    <w:p w:rsidR="005A0BDB" w:rsidRPr="00DF5C11" w:rsidRDefault="005A0BDB" w:rsidP="008A2F67">
      <w:pPr>
        <w:rPr>
          <w:sz w:val="24"/>
          <w:szCs w:val="21"/>
        </w:rPr>
      </w:pPr>
      <w:r w:rsidRPr="00DF5C11">
        <w:rPr>
          <w:rFonts w:hint="eastAsia"/>
          <w:b/>
          <w:sz w:val="24"/>
          <w:szCs w:val="21"/>
        </w:rPr>
        <w:t>4</w:t>
      </w:r>
      <w:r w:rsidRPr="00DF5C11">
        <w:rPr>
          <w:rFonts w:hint="eastAsia"/>
          <w:b/>
          <w:sz w:val="24"/>
          <w:szCs w:val="21"/>
        </w:rPr>
        <w:t>、</w:t>
      </w:r>
      <w:r w:rsidR="005D03C9" w:rsidRPr="00DF5C11">
        <w:rPr>
          <w:rFonts w:hint="eastAsia"/>
          <w:b/>
          <w:sz w:val="24"/>
          <w:szCs w:val="21"/>
        </w:rPr>
        <w:t>征文</w:t>
      </w:r>
      <w:r w:rsidRPr="00DF5C11">
        <w:rPr>
          <w:rFonts w:hint="eastAsia"/>
          <w:b/>
          <w:sz w:val="24"/>
          <w:szCs w:val="21"/>
        </w:rPr>
        <w:t>入选</w:t>
      </w:r>
      <w:r w:rsidR="008A2F67" w:rsidRPr="00DF5C11">
        <w:rPr>
          <w:rFonts w:hint="eastAsia"/>
          <w:b/>
          <w:sz w:val="24"/>
          <w:szCs w:val="21"/>
        </w:rPr>
        <w:t>奖</w:t>
      </w:r>
      <w:r w:rsidR="00483D8D" w:rsidRPr="00DF5C11">
        <w:rPr>
          <w:rFonts w:hint="eastAsia"/>
          <w:b/>
          <w:sz w:val="24"/>
          <w:szCs w:val="21"/>
        </w:rPr>
        <w:t>：</w:t>
      </w:r>
      <w:r w:rsidR="00E449A0" w:rsidRPr="00DF5C11">
        <w:rPr>
          <w:rFonts w:hint="eastAsia"/>
          <w:b/>
          <w:sz w:val="24"/>
          <w:szCs w:val="21"/>
        </w:rPr>
        <w:t>1</w:t>
      </w:r>
      <w:r w:rsidR="00B26C79" w:rsidRPr="00DF5C11">
        <w:rPr>
          <w:rFonts w:hint="eastAsia"/>
          <w:b/>
          <w:sz w:val="24"/>
          <w:szCs w:val="21"/>
        </w:rPr>
        <w:t>8</w:t>
      </w:r>
      <w:r w:rsidR="00483D8D" w:rsidRPr="00DF5C11">
        <w:rPr>
          <w:rFonts w:hint="eastAsia"/>
          <w:b/>
          <w:sz w:val="24"/>
          <w:szCs w:val="21"/>
        </w:rPr>
        <w:t>篇</w:t>
      </w:r>
      <w:r w:rsidR="0014447D" w:rsidRPr="00DF5C11">
        <w:rPr>
          <w:rFonts w:hint="eastAsia"/>
          <w:sz w:val="24"/>
          <w:szCs w:val="21"/>
        </w:rPr>
        <w:t>（按论文标题首字拼音排序）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 xml:space="preserve"> “</w:t>
      </w:r>
      <w:r w:rsidRPr="00C76B1A">
        <w:rPr>
          <w:b/>
        </w:rPr>
        <w:t>授之以鱼，不如授之以渔</w:t>
      </w:r>
      <w:r w:rsidRPr="00C76B1A">
        <w:rPr>
          <w:b/>
        </w:rPr>
        <w:t>”——</w:t>
      </w:r>
      <w:r w:rsidRPr="00C76B1A">
        <w:rPr>
          <w:b/>
        </w:rPr>
        <w:t>政府支持合作社的效能边界及其方式优化研究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许建明、孟庆国（清华大学公共管理学院</w:t>
      </w:r>
      <w:r w:rsidRPr="00C76B1A">
        <w:rPr>
          <w:rFonts w:eastAsia="楷体"/>
          <w:sz w:val="24"/>
        </w:rPr>
        <w:t>/</w:t>
      </w:r>
      <w:r w:rsidRPr="00C76B1A">
        <w:rPr>
          <w:rFonts w:eastAsia="楷体"/>
          <w:sz w:val="24"/>
        </w:rPr>
        <w:t>中国农村研究院）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北方农牧交错区玉米结构调整的困境与发展策略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刘慧、赵一夫、周向阳、张宁宁（中国农业科学院农业经济与发展研究所）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城镇化、工业化与农民收入增长关系与区域差异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王月、霍学喜（西北农林科技大学西部农村发展研究中心）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风险之</w:t>
      </w:r>
      <w:proofErr w:type="gramStart"/>
      <w:r w:rsidRPr="00C76B1A">
        <w:rPr>
          <w:b/>
        </w:rPr>
        <w:t>殇</w:t>
      </w:r>
      <w:proofErr w:type="gramEnd"/>
      <w:r w:rsidRPr="00C76B1A">
        <w:rPr>
          <w:b/>
        </w:rPr>
        <w:t>：对转基因和非转基因大豆油支付意愿差距的修正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周海文、李腾飞、王志刚</w:t>
      </w:r>
      <w:r w:rsidRPr="00C76B1A">
        <w:rPr>
          <w:rFonts w:eastAsia="楷体"/>
          <w:sz w:val="24"/>
        </w:rPr>
        <w:t xml:space="preserve"> (</w:t>
      </w:r>
      <w:r w:rsidRPr="00C76B1A">
        <w:rPr>
          <w:rFonts w:eastAsia="楷体"/>
          <w:sz w:val="24"/>
        </w:rPr>
        <w:t>中国人民大学农业与农村发展学院</w:t>
      </w:r>
      <w:r w:rsidRPr="00C76B1A">
        <w:rPr>
          <w:rFonts w:eastAsia="楷体"/>
          <w:sz w:val="24"/>
        </w:rPr>
        <w:t>)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集体组织对土地流转价格的影响分析</w:t>
      </w:r>
      <w:r w:rsidRPr="00C76B1A">
        <w:rPr>
          <w:b/>
        </w:rPr>
        <w:t>——</w:t>
      </w:r>
      <w:r w:rsidRPr="00C76B1A">
        <w:rPr>
          <w:b/>
        </w:rPr>
        <w:t>基于山东省</w:t>
      </w:r>
      <w:r w:rsidRPr="00C76B1A">
        <w:rPr>
          <w:b/>
        </w:rPr>
        <w:t>296</w:t>
      </w:r>
      <w:r w:rsidRPr="00C76B1A">
        <w:rPr>
          <w:b/>
        </w:rPr>
        <w:t>户农户的调研分析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吕亚荣、吴丽丽、于婷（中国人民大学农业与农村发展学院）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精准扶贫视角下的农村居民人情消费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王凤婷、刘强、熊立春（中国农业大学；浙江大学；北京林业大学）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留守儿童、随迁儿童的饮食规律和荤素搭配更差吗？</w:t>
      </w:r>
      <w:r w:rsidRPr="00C76B1A">
        <w:rPr>
          <w:b/>
        </w:rPr>
        <w:t>——</w:t>
      </w:r>
      <w:r w:rsidRPr="00C76B1A">
        <w:rPr>
          <w:b/>
        </w:rPr>
        <w:t>来自青、陕、豫的证据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范焱红、樊林峰、林文声、王志刚（中国人民大学农业与农村发展学院）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农产品金融化对玉米价格波动的传导机制</w:t>
      </w:r>
      <w:r w:rsidRPr="00C76B1A">
        <w:rPr>
          <w:b/>
        </w:rPr>
        <w:t xml:space="preserve"> </w:t>
      </w:r>
      <w:r w:rsidRPr="00C76B1A">
        <w:rPr>
          <w:b/>
        </w:rPr>
        <w:t>及效应研究：基于</w:t>
      </w:r>
      <w:r w:rsidRPr="00C76B1A">
        <w:rPr>
          <w:b/>
        </w:rPr>
        <w:t>ARDL</w:t>
      </w:r>
      <w:r w:rsidRPr="00C76B1A">
        <w:rPr>
          <w:b/>
        </w:rPr>
        <w:t>模型</w:t>
      </w:r>
    </w:p>
    <w:p w:rsidR="00C00EA0" w:rsidRPr="00C76B1A" w:rsidRDefault="00C00EA0" w:rsidP="003872C5">
      <w:pPr>
        <w:ind w:leftChars="296" w:left="622"/>
        <w:rPr>
          <w:rFonts w:eastAsia="楷体"/>
          <w:sz w:val="24"/>
        </w:rPr>
      </w:pPr>
      <w:r w:rsidRPr="00C76B1A">
        <w:rPr>
          <w:rFonts w:eastAsia="楷体"/>
          <w:sz w:val="24"/>
        </w:rPr>
        <w:t>吴海霞、葛岩、史恒通、李鹏（陕西师范大学国际商学院；中央财经大学财政学院）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农地确权、资产专用性与农地流转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林文声、王志刚（中国人民大学农业与农村发展学院）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农户农地流转的意愿价格差异及影响因素</w:t>
      </w:r>
      <w:r w:rsidRPr="00C76B1A">
        <w:rPr>
          <w:b/>
        </w:rPr>
        <w:t>——</w:t>
      </w:r>
      <w:r w:rsidRPr="00C76B1A">
        <w:rPr>
          <w:b/>
        </w:rPr>
        <w:t>基于种粮目的分化视角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黄文彬、陈风波、谭莹（华南农业大学经济管理学院）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农户土地流转与农业生产率变化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曾雅婷（中国人民大学农业与农村发展学院）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商家营销策略对青少年儿童零食消费的影响</w:t>
      </w:r>
      <w:r w:rsidRPr="00C76B1A">
        <w:rPr>
          <w:b/>
        </w:rPr>
        <w:t>——</w:t>
      </w:r>
      <w:r w:rsidRPr="00C76B1A">
        <w:rPr>
          <w:b/>
        </w:rPr>
        <w:t>以青、陕、豫三省农村</w:t>
      </w:r>
      <w:r w:rsidRPr="00C76B1A">
        <w:rPr>
          <w:b/>
        </w:rPr>
        <w:t>1047</w:t>
      </w:r>
      <w:r w:rsidRPr="00C76B1A">
        <w:rPr>
          <w:b/>
        </w:rPr>
        <w:t>名学生为例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proofErr w:type="gramStart"/>
      <w:r w:rsidRPr="00C76B1A">
        <w:rPr>
          <w:rFonts w:eastAsia="楷体"/>
          <w:sz w:val="24"/>
        </w:rPr>
        <w:t>黎哲延</w:t>
      </w:r>
      <w:proofErr w:type="gramEnd"/>
      <w:r w:rsidRPr="00C76B1A">
        <w:rPr>
          <w:rFonts w:eastAsia="楷体"/>
          <w:sz w:val="24"/>
        </w:rPr>
        <w:t>、林文声、樊林峰、王志刚</w:t>
      </w:r>
      <w:r w:rsidRPr="00C76B1A">
        <w:rPr>
          <w:rFonts w:eastAsia="楷体"/>
          <w:sz w:val="24"/>
        </w:rPr>
        <w:t></w:t>
      </w:r>
      <w:r w:rsidRPr="00C76B1A">
        <w:rPr>
          <w:rFonts w:eastAsia="楷体"/>
          <w:sz w:val="24"/>
        </w:rPr>
        <w:t>（中国人民大学农业与农村发展学院）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收益预期、农业政策与我国农作物供给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王晨、王济民（中国农业科学院农业经济与发展研究所）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台资蔬菜制种企业在大陆发展面临的问题及政策建议</w:t>
      </w:r>
    </w:p>
    <w:p w:rsidR="00C00EA0" w:rsidRPr="00C76B1A" w:rsidRDefault="00C00EA0" w:rsidP="003872C5">
      <w:pPr>
        <w:ind w:leftChars="296" w:left="622"/>
        <w:rPr>
          <w:rFonts w:eastAsia="楷体"/>
          <w:sz w:val="24"/>
        </w:rPr>
      </w:pPr>
      <w:r w:rsidRPr="00C76B1A">
        <w:rPr>
          <w:rFonts w:eastAsia="楷体"/>
          <w:sz w:val="24"/>
        </w:rPr>
        <w:lastRenderedPageBreak/>
        <w:t>周向阳、沈辰、赵一夫（中国农业科学院农业经济与发展研究所；中国农业科学院农业信息研究所）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小规模农户能否推动农业绿色化进程</w:t>
      </w:r>
      <w:r w:rsidRPr="00C76B1A">
        <w:rPr>
          <w:b/>
        </w:rPr>
        <w:t>—</w:t>
      </w:r>
      <w:r w:rsidRPr="00C76B1A">
        <w:rPr>
          <w:b/>
        </w:rPr>
        <w:t>以秸秆还田为例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江鑫、颜廷武（华中农业大学经济管理学院；湖北农村发展研究中心）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信贷、贫困与不平等：来自中国农贷市场的证据</w:t>
      </w:r>
    </w:p>
    <w:p w:rsidR="00C00EA0" w:rsidRPr="00C76B1A" w:rsidRDefault="00C00EA0" w:rsidP="003872C5">
      <w:pPr>
        <w:ind w:leftChars="96" w:left="202" w:firstLineChars="200" w:firstLine="480"/>
        <w:rPr>
          <w:rFonts w:eastAsia="楷体"/>
          <w:sz w:val="24"/>
        </w:rPr>
      </w:pPr>
      <w:r w:rsidRPr="00C76B1A">
        <w:rPr>
          <w:rFonts w:eastAsia="楷体"/>
          <w:sz w:val="24"/>
        </w:rPr>
        <w:t>朱炯（中国人民大学农业与农村发展学院）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中国建立健全城乡统一建设用地市场的现实基础分析</w:t>
      </w:r>
    </w:p>
    <w:p w:rsidR="00C00EA0" w:rsidRPr="00C76B1A" w:rsidRDefault="00C00EA0" w:rsidP="003872C5">
      <w:pPr>
        <w:ind w:leftChars="296" w:left="622"/>
        <w:rPr>
          <w:rFonts w:eastAsia="楷体"/>
          <w:sz w:val="24"/>
        </w:rPr>
      </w:pPr>
      <w:r w:rsidRPr="00C76B1A">
        <w:rPr>
          <w:rFonts w:eastAsia="楷体"/>
          <w:sz w:val="24"/>
        </w:rPr>
        <w:t>蒋亚平、丁琳琳、潘小勇（中国土地学会；中国农业科学院农业经济与发展研究所；中国土地勘测规划院）</w:t>
      </w:r>
    </w:p>
    <w:p w:rsidR="00C00EA0" w:rsidRDefault="00C00EA0" w:rsidP="00C00EA0">
      <w:pPr>
        <w:ind w:leftChars="96" w:left="202"/>
        <w:rPr>
          <w:b/>
        </w:rPr>
      </w:pPr>
      <w:r w:rsidRPr="00C76B1A">
        <w:rPr>
          <w:b/>
        </w:rPr>
        <w:t>专业化农户正规信贷需求对比分析</w:t>
      </w:r>
      <w:r w:rsidRPr="00C76B1A">
        <w:rPr>
          <w:b/>
        </w:rPr>
        <w:t>——</w:t>
      </w:r>
      <w:r w:rsidRPr="00C76B1A">
        <w:rPr>
          <w:b/>
        </w:rPr>
        <w:t>基于全国</w:t>
      </w:r>
      <w:r w:rsidRPr="00C76B1A">
        <w:rPr>
          <w:b/>
        </w:rPr>
        <w:t>725</w:t>
      </w:r>
      <w:r w:rsidRPr="00C76B1A">
        <w:rPr>
          <w:b/>
        </w:rPr>
        <w:t>个专业化苹果种植户微观数据</w:t>
      </w:r>
    </w:p>
    <w:p w:rsidR="00C00EA0" w:rsidRPr="00C76B1A" w:rsidRDefault="00C00EA0" w:rsidP="003872C5">
      <w:pPr>
        <w:ind w:leftChars="296" w:left="622"/>
        <w:rPr>
          <w:rFonts w:eastAsia="楷体"/>
          <w:sz w:val="24"/>
        </w:rPr>
      </w:pPr>
      <w:r w:rsidRPr="00C76B1A">
        <w:rPr>
          <w:rFonts w:eastAsia="楷体"/>
          <w:sz w:val="24"/>
        </w:rPr>
        <w:t>马燕妮、霍学喜（西北农林科技大学经济管理学院陕西杨凌；西部农村发展研究中心陕西杨凌）</w:t>
      </w:r>
    </w:p>
    <w:p w:rsidR="00B26C79" w:rsidRPr="00651B43" w:rsidRDefault="00B26C79" w:rsidP="008A2F67">
      <w:pPr>
        <w:rPr>
          <w:szCs w:val="21"/>
        </w:rPr>
      </w:pPr>
    </w:p>
    <w:sectPr w:rsidR="00B26C79" w:rsidRPr="00651B43" w:rsidSect="004E7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3E" w:rsidRDefault="00D4443E" w:rsidP="00E8614D">
      <w:r>
        <w:separator/>
      </w:r>
    </w:p>
  </w:endnote>
  <w:endnote w:type="continuationSeparator" w:id="0">
    <w:p w:rsidR="00D4443E" w:rsidRDefault="00D4443E" w:rsidP="00E8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3E" w:rsidRDefault="00D4443E" w:rsidP="00E8614D">
      <w:r>
        <w:separator/>
      </w:r>
    </w:p>
  </w:footnote>
  <w:footnote w:type="continuationSeparator" w:id="0">
    <w:p w:rsidR="00D4443E" w:rsidRDefault="00D4443E" w:rsidP="00E86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8FA"/>
    <w:multiLevelType w:val="hybridMultilevel"/>
    <w:tmpl w:val="3FCE5176"/>
    <w:lvl w:ilvl="0" w:tplc="E286CA2A">
      <w:start w:val="1"/>
      <w:numFmt w:val="decimal"/>
      <w:lvlText w:val="%1、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1">
    <w:nsid w:val="5B75677C"/>
    <w:multiLevelType w:val="hybridMultilevel"/>
    <w:tmpl w:val="C3BEF1E8"/>
    <w:lvl w:ilvl="0" w:tplc="A0FEC922">
      <w:start w:val="1"/>
      <w:numFmt w:val="decimal"/>
      <w:lvlText w:val="%1、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988"/>
    <w:rsid w:val="0002760E"/>
    <w:rsid w:val="0005041C"/>
    <w:rsid w:val="000627C2"/>
    <w:rsid w:val="000735E0"/>
    <w:rsid w:val="00074804"/>
    <w:rsid w:val="000B54D7"/>
    <w:rsid w:val="000F63F2"/>
    <w:rsid w:val="0014447D"/>
    <w:rsid w:val="00192B6C"/>
    <w:rsid w:val="001A2E30"/>
    <w:rsid w:val="00281575"/>
    <w:rsid w:val="00290C2C"/>
    <w:rsid w:val="002F49E9"/>
    <w:rsid w:val="003437EA"/>
    <w:rsid w:val="003872C5"/>
    <w:rsid w:val="00390572"/>
    <w:rsid w:val="003A7D40"/>
    <w:rsid w:val="003B6796"/>
    <w:rsid w:val="00433480"/>
    <w:rsid w:val="00483D8D"/>
    <w:rsid w:val="004E74EB"/>
    <w:rsid w:val="005A0506"/>
    <w:rsid w:val="005A0BDB"/>
    <w:rsid w:val="005C0D96"/>
    <w:rsid w:val="005D03C9"/>
    <w:rsid w:val="005D09B9"/>
    <w:rsid w:val="00651B43"/>
    <w:rsid w:val="00666A55"/>
    <w:rsid w:val="00711399"/>
    <w:rsid w:val="007B1568"/>
    <w:rsid w:val="007B1571"/>
    <w:rsid w:val="007F7D4C"/>
    <w:rsid w:val="00885569"/>
    <w:rsid w:val="008A2F67"/>
    <w:rsid w:val="008F32BE"/>
    <w:rsid w:val="00901618"/>
    <w:rsid w:val="00940618"/>
    <w:rsid w:val="00954D9F"/>
    <w:rsid w:val="009608DA"/>
    <w:rsid w:val="00975A30"/>
    <w:rsid w:val="00A35218"/>
    <w:rsid w:val="00A7778B"/>
    <w:rsid w:val="00A84B74"/>
    <w:rsid w:val="00B258EE"/>
    <w:rsid w:val="00B26C79"/>
    <w:rsid w:val="00B27988"/>
    <w:rsid w:val="00C00EA0"/>
    <w:rsid w:val="00C0358D"/>
    <w:rsid w:val="00C31658"/>
    <w:rsid w:val="00CA441B"/>
    <w:rsid w:val="00CA45E9"/>
    <w:rsid w:val="00D4443E"/>
    <w:rsid w:val="00D54C0D"/>
    <w:rsid w:val="00D74325"/>
    <w:rsid w:val="00DD0960"/>
    <w:rsid w:val="00DF5C11"/>
    <w:rsid w:val="00E10013"/>
    <w:rsid w:val="00E2177F"/>
    <w:rsid w:val="00E449A0"/>
    <w:rsid w:val="00E8614D"/>
    <w:rsid w:val="00EB387D"/>
    <w:rsid w:val="00F640AE"/>
    <w:rsid w:val="00F660B9"/>
    <w:rsid w:val="00FA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6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614D"/>
    <w:rPr>
      <w:kern w:val="2"/>
      <w:sz w:val="18"/>
      <w:szCs w:val="18"/>
    </w:rPr>
  </w:style>
  <w:style w:type="paragraph" w:styleId="a4">
    <w:name w:val="footer"/>
    <w:basedOn w:val="a"/>
    <w:link w:val="Char0"/>
    <w:rsid w:val="00E86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614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861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0CE9-F023-48BB-B439-42F158DE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北京农业经济学会2008学术年会征文专家匿名评审结果</dc:title>
  <dc:creator>de4ll</dc:creator>
  <cp:lastModifiedBy>hp</cp:lastModifiedBy>
  <cp:revision>20</cp:revision>
  <dcterms:created xsi:type="dcterms:W3CDTF">2016-12-04T16:25:00Z</dcterms:created>
  <dcterms:modified xsi:type="dcterms:W3CDTF">2016-12-10T10:01:00Z</dcterms:modified>
</cp:coreProperties>
</file>